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5_Bridegroom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Remaining Devoted, Ready, and Pure for Christ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guides this lesson?</w:t>
      </w:r>
    </w:p>
    <w:p>
      <w:pPr>
        <w:spacing w:after="0"/>
        <w:ind w:left="432"/>
      </w:pPr>
      <w:r>
        <w:t>A. Bridegroom - Bride</w:t>
      </w:r>
    </w:p>
    <w:p>
      <w:pPr>
        <w:spacing w:after="0"/>
        <w:ind w:left="432"/>
      </w:pPr>
      <w:r>
        <w:t>B. Teacher - Disciple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Cornerstone - Stones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Christ do to secure His bride?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believers focus on in light of this lesson?</w:t>
      </w:r>
    </w:p>
    <w:p>
      <w:pPr>
        <w:spacing w:after="0"/>
        <w:ind w:left="432"/>
      </w:pPr>
      <w:r>
        <w:t>A. Christ's return</w:t>
      </w:r>
    </w:p>
    <w:p>
      <w:pPr>
        <w:spacing w:after="0"/>
        <w:ind w:left="432"/>
      </w:pPr>
      <w:r>
        <w:t>B. Personal popularity</w:t>
      </w:r>
    </w:p>
    <w:p>
      <w:pPr>
        <w:spacing w:after="0"/>
        <w:ind w:left="432"/>
      </w:pPr>
      <w:r>
        <w:t>C. Avoiding all commitments</w:t>
      </w:r>
    </w:p>
    <w:p>
      <w:pPr>
        <w:spacing w:after="0"/>
        <w:ind w:left="432"/>
      </w:pPr>
      <w:r>
        <w:t>D. Worldly success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Revelation 19 says the marriage of the _____ has come.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John 14:2-3 encourage believers?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to remain devoted to Christ.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passage warns against being bound together with unbelievers?</w:t>
      </w:r>
    </w:p>
    <w:p>
      <w:pPr>
        <w:spacing w:after="0"/>
        <w:ind w:left="432"/>
      </w:pPr>
      <w:r>
        <w:t>A. 2 Corinthians 6:14-18</w:t>
      </w:r>
    </w:p>
    <w:p>
      <w:pPr>
        <w:spacing w:after="0"/>
        <w:ind w:left="432"/>
      </w:pPr>
      <w:r>
        <w:t>B. Psalm 23:1</w:t>
      </w:r>
    </w:p>
    <w:p>
      <w:pPr>
        <w:spacing w:after="0"/>
        <w:ind w:left="432"/>
      </w:pPr>
      <w:r>
        <w:t>C. 1 Peter 2:5</w:t>
      </w:r>
    </w:p>
    <w:p>
      <w:pPr>
        <w:spacing w:after="0"/>
        <w:ind w:left="432"/>
      </w:pPr>
      <w:r>
        <w:t>D. John 15:5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purity standard you should clarify or strengthen.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readiness more than knowing Christ will return?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does Christ's covenant love shape marriage and singleness?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would help you delight more in Christ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05 - Bridegroom-Bride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RD05 Bridegroom-Bride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