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drawing xmlns:a="http://schemas.openxmlformats.org/drawingml/2006/main">
          <wp:inline distT="0" distB="0" distL="0" distR="0">
            <wp:extent cx="4114800" cy="1543050"/>
            <wp:effectExtent l="0" t="0" r="0" b="0"/>
            <wp:docPr id="1073741825" name="officeArt object" descr="MGL6_120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GL6_1200.jpeg" descr="MGL6_1200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43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rPr>
          <w:rFonts w:cs="Arial Unicode MS" w:eastAsia="Arial Unicode MS"/>
          <w:rtl w:val="0"/>
          <w:lang w:val="en-US"/>
        </w:rPr>
        <w:t>The Making of a Godly Leader</w:t>
      </w:r>
    </w:p>
    <w:p>
      <w:pPr>
        <w:pStyle w:val="Subtitle"/>
        <w:bidi w:val="0"/>
      </w:pPr>
      <w:r>
        <w:rPr>
          <w:rtl w:val="0"/>
        </w:rPr>
        <w:t>Session #6: Study Notes</w:t>
      </w:r>
    </w:p>
    <w:p>
      <w:pPr>
        <w:pStyle w:val="Subtitle"/>
        <w:bidi w:val="0"/>
      </w:pPr>
      <w:r>
        <w:rPr>
          <w:rtl w:val="0"/>
        </w:rPr>
        <w:t>Isaiah 53:10-12</w:t>
      </w:r>
      <w:r>
        <w:rPr>
          <w:rtl w:val="0"/>
        </w:rPr>
        <w:t xml:space="preserve"> </w:t>
      </w:r>
      <w:r>
        <w:rPr>
          <w:rtl w:val="0"/>
        </w:rPr>
        <w:t>The Godly Leader Embraces God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</w:rPr>
        <w:t>U</w:t>
      </w:r>
      <w:r>
        <w:rPr>
          <w:rtl w:val="0"/>
          <w:lang w:val="it-IT"/>
        </w:rPr>
        <w:t xml:space="preserve">ltimate </w:t>
      </w:r>
      <w:r>
        <w:rPr>
          <w:rtl w:val="0"/>
        </w:rPr>
        <w:t>P</w:t>
      </w:r>
      <w:r>
        <w:rPr>
          <w:rtl w:val="0"/>
        </w:rPr>
        <w:t>urpose</w:t>
      </w:r>
      <w:r>
        <w:rPr>
          <w:rtl w:val="0"/>
        </w:rPr>
        <w:t>s</w:t>
      </w:r>
    </w:p>
    <w:p>
      <w:pPr>
        <w:pStyle w:val="Body"/>
      </w:pPr>
      <w:r>
        <w:rPr>
          <w:rtl w:val="0"/>
        </w:rPr>
        <w:t>This expositional teaching serves as both a theological study and devotional guide, inspiring readers to understand and imitate the Servant</w:t>
      </w:r>
      <w:r>
        <w:rPr>
          <w:rtl w:val="0"/>
        </w:rPr>
        <w:t>’</w:t>
      </w:r>
      <w:r>
        <w:rPr>
          <w:rtl w:val="0"/>
        </w:rPr>
        <w:t>s sacrificial love and leadership while highlighting the redemptive meaning of suffering and the role of the resurrection in Christian theology.</w:t>
      </w:r>
    </w:p>
    <w:p>
      <w:pPr>
        <w:pStyle w:val="Heading 2"/>
        <w:bidi w:val="0"/>
      </w:pPr>
      <w:r>
        <w:rPr>
          <w:rtl w:val="0"/>
        </w:rPr>
        <w:t>The Five Sections of the Fourth Servant Song</w:t>
      </w:r>
    </w:p>
    <w:p>
      <w:pPr>
        <w:pStyle w:val="Body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His Accomplishments</w:t>
      </w:r>
      <w:r>
        <w:rPr>
          <w:sz w:val="20"/>
          <w:szCs w:val="20"/>
          <w:rtl w:val="0"/>
          <w:lang w:val="en-US"/>
        </w:rPr>
        <w:t>:</w:t>
      </w:r>
      <w:r>
        <w:rPr>
          <w:sz w:val="20"/>
          <w:szCs w:val="20"/>
          <w:rtl w:val="0"/>
        </w:rPr>
        <w:tab/>
        <w:t>Isaiah 52:13-15</w:t>
        <w:tab/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en-US"/>
        </w:rPr>
        <w:t>Accepts God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design for His life</w:t>
      </w:r>
    </w:p>
    <w:p>
      <w:pPr>
        <w:pStyle w:val="Body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His Following</w:t>
      </w:r>
      <w:r>
        <w:rPr>
          <w:sz w:val="20"/>
          <w:szCs w:val="20"/>
          <w:rtl w:val="0"/>
          <w:lang w:val="en-US"/>
        </w:rPr>
        <w:t>:</w:t>
      </w:r>
      <w:r>
        <w:rPr>
          <w:sz w:val="20"/>
          <w:szCs w:val="20"/>
          <w:rtl w:val="0"/>
        </w:rPr>
        <w:tab/>
        <w:t>Isaiah 53:1-3</w:t>
        <w:tab/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en-US"/>
        </w:rPr>
        <w:t>Endures God-given hardships</w:t>
      </w:r>
    </w:p>
    <w:p>
      <w:pPr>
        <w:pStyle w:val="Body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His Sufferings</w:t>
      </w:r>
      <w:r>
        <w:rPr>
          <w:sz w:val="20"/>
          <w:szCs w:val="20"/>
          <w:rtl w:val="0"/>
          <w:lang w:val="en-US"/>
        </w:rPr>
        <w:t>:</w:t>
      </w:r>
      <w:r>
        <w:rPr>
          <w:sz w:val="20"/>
          <w:szCs w:val="20"/>
          <w:rtl w:val="0"/>
        </w:rPr>
        <w:tab/>
        <w:t>Isaiah 53:4-6</w:t>
        <w:tab/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es-ES_tradnl"/>
        </w:rPr>
        <w:t>Embraces God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purposes, bears sins</w:t>
      </w:r>
    </w:p>
    <w:p>
      <w:pPr>
        <w:pStyle w:val="Body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His Innocent</w:t>
      </w:r>
      <w:r>
        <w:rPr>
          <w:sz w:val="20"/>
          <w:szCs w:val="20"/>
          <w:rtl w:val="0"/>
          <w:lang w:val="en-US"/>
        </w:rPr>
        <w:t>:</w:t>
      </w:r>
      <w:r>
        <w:rPr>
          <w:sz w:val="20"/>
          <w:szCs w:val="20"/>
          <w:rtl w:val="0"/>
        </w:rPr>
        <w:tab/>
        <w:t>Isaiah 53:7-9</w:t>
        <w:tab/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en-US"/>
        </w:rPr>
        <w:t>Endures suffering, remains innocent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20"/>
          <w:szCs w:val="20"/>
          <w:lang w:val="en-US"/>
        </w:rPr>
      </w:pPr>
      <w:r>
        <w:rPr>
          <w:b w:val="1"/>
          <w:bCs w:val="1"/>
          <w:sz w:val="20"/>
          <w:szCs w:val="20"/>
          <w:rtl w:val="0"/>
          <w:lang w:val="en-US"/>
        </w:rPr>
        <w:t>His Purpose</w:t>
      </w:r>
      <w:r>
        <w:rPr>
          <w:b w:val="1"/>
          <w:bCs w:val="1"/>
          <w:sz w:val="20"/>
          <w:szCs w:val="20"/>
          <w:rtl w:val="0"/>
          <w:lang w:val="en-US"/>
        </w:rPr>
        <w:t>:</w:t>
      </w:r>
      <w:r>
        <w:rPr>
          <w:b w:val="1"/>
          <w:bCs w:val="1"/>
          <w:sz w:val="20"/>
          <w:szCs w:val="20"/>
          <w:rtl w:val="0"/>
        </w:rPr>
        <w:tab/>
        <w:t>Isaiah 53:10-12</w:t>
        <w:tab/>
      </w:r>
      <w:r>
        <w:rPr>
          <w:b w:val="1"/>
          <w:bCs w:val="1"/>
          <w:sz w:val="20"/>
          <w:szCs w:val="20"/>
        </w:rPr>
        <w:br w:type="textWrapping"/>
      </w:r>
      <w:r>
        <w:rPr>
          <w:b w:val="1"/>
          <w:bCs w:val="1"/>
          <w:sz w:val="20"/>
          <w:szCs w:val="20"/>
          <w:rtl w:val="0"/>
          <w:lang w:val="es-ES_tradnl"/>
        </w:rPr>
        <w:t>Embraces God</w:t>
      </w:r>
      <w:r>
        <w:rPr>
          <w:b w:val="1"/>
          <w:bCs w:val="1"/>
          <w:sz w:val="20"/>
          <w:szCs w:val="20"/>
          <w:rtl w:val="0"/>
          <w:lang w:val="en-US"/>
        </w:rPr>
        <w:t>’</w:t>
      </w:r>
      <w:r>
        <w:rPr>
          <w:b w:val="1"/>
          <w:bCs w:val="1"/>
          <w:sz w:val="20"/>
          <w:szCs w:val="20"/>
          <w:rtl w:val="0"/>
          <w:lang w:val="en-US"/>
        </w:rPr>
        <w:t>s ultimate purpose</w:t>
      </w:r>
    </w:p>
    <w:p>
      <w:pPr>
        <w:pStyle w:val="Heading 2"/>
        <w:bidi w:val="0"/>
      </w:pPr>
      <w:r>
        <w:rPr>
          <w:rtl w:val="0"/>
        </w:rPr>
        <w:t>The Major Themes</w:t>
      </w:r>
      <w:r>
        <w:rPr>
          <w:rtl w:val="0"/>
        </w:rPr>
        <w:t xml:space="preserve"> (Isaiah 53:</w:t>
      </w:r>
      <w:r>
        <w:rPr>
          <w:rtl w:val="0"/>
        </w:rPr>
        <w:t>10-12</w:t>
      </w:r>
      <w:r>
        <w:rPr>
          <w:rtl w:val="0"/>
        </w:rPr>
        <w:t>)</w:t>
      </w:r>
    </w:p>
    <w:p>
      <w:pPr>
        <w:pStyle w:val="Body"/>
        <w:numPr>
          <w:ilvl w:val="0"/>
          <w:numId w:val="3"/>
        </w:numPr>
      </w:pPr>
      <w:r>
        <w:rPr>
          <w:b w:val="1"/>
          <w:bCs w:val="1"/>
          <w:rtl w:val="0"/>
        </w:rPr>
        <w:t>God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Pleasure in the Servant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Sacrifice for Redemption</w:t>
      </w:r>
      <w:r>
        <w:rPr>
          <w:rtl w:val="0"/>
        </w:rPr>
        <w:t xml:space="preserve">: </w:t>
      </w:r>
      <w:r>
        <w:rPr>
          <w:rtl w:val="0"/>
        </w:rPr>
        <w:t>This is evident from Isaiah 53:10, where the Lord was pleased to crush Him, making Him a guilt offering, in accordance with God</w:t>
      </w:r>
      <w:r>
        <w:rPr>
          <w:rtl w:val="0"/>
        </w:rPr>
        <w:t>’</w:t>
      </w:r>
      <w:r>
        <w:rPr>
          <w:rtl w:val="0"/>
        </w:rPr>
        <w:t>s good will and His redemptive purpose.</w:t>
      </w:r>
    </w:p>
    <w:p>
      <w:pPr>
        <w:pStyle w:val="Body"/>
        <w:numPr>
          <w:ilvl w:val="0"/>
          <w:numId w:val="3"/>
        </w:numPr>
      </w:pPr>
      <w:r>
        <w:rPr>
          <w:b w:val="1"/>
          <w:bCs w:val="1"/>
          <w:rtl w:val="0"/>
          <w:lang w:val="en-US"/>
        </w:rPr>
        <w:t>The Effectiveness of the Servant's Sacrifice in Justifying</w:t>
      </w:r>
      <w:r>
        <w:rPr>
          <w:b w:val="1"/>
          <w:bCs w:val="1"/>
          <w:rtl w:val="0"/>
          <w:lang w:val="en-US"/>
        </w:rPr>
        <w:t>: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>The Servant</w:t>
      </w:r>
      <w:r>
        <w:rPr>
          <w:rtl w:val="0"/>
        </w:rPr>
        <w:t>’</w:t>
      </w:r>
      <w:r>
        <w:rPr>
          <w:rtl w:val="0"/>
        </w:rPr>
        <w:t xml:space="preserve">s anguish in Isaiah 53:11 leads to the satisfaction and justification of many, emphasizing its salvific impact, as described in the </w:t>
      </w:r>
      <w:r>
        <w:rPr>
          <w:rtl w:val="0"/>
        </w:rPr>
        <w:t>“</w:t>
      </w:r>
      <w:r>
        <w:rPr>
          <w:rtl w:val="0"/>
        </w:rPr>
        <w:t>Effective Sacrifice</w:t>
      </w:r>
      <w:r>
        <w:rPr>
          <w:rtl w:val="0"/>
        </w:rPr>
        <w:t xml:space="preserve">” </w:t>
      </w:r>
      <w:r>
        <w:rPr>
          <w:rtl w:val="0"/>
        </w:rPr>
        <w:t>section.</w:t>
      </w:r>
    </w:p>
    <w:p>
      <w:pPr>
        <w:pStyle w:val="Body"/>
        <w:numPr>
          <w:ilvl w:val="0"/>
          <w:numId w:val="3"/>
        </w:numPr>
      </w:pPr>
      <w:r>
        <w:rPr>
          <w:b w:val="1"/>
          <w:bCs w:val="1"/>
          <w:rtl w:val="0"/>
          <w:lang w:val="en-US"/>
        </w:rPr>
        <w:t>The Rewards and Blessings the Servant Receives Post-Sacrifice</w:t>
      </w:r>
      <w:r>
        <w:rPr>
          <w:rtl w:val="0"/>
        </w:rPr>
        <w:t xml:space="preserve">: </w:t>
      </w:r>
      <w:r>
        <w:rPr>
          <w:rtl w:val="0"/>
        </w:rPr>
        <w:t xml:space="preserve">From Isaiah 53:12, the Servant is assigned a portion with the great, shares the spoils, and intercedes, indicating his ultimate glory, as discussed under </w:t>
      </w:r>
      <w:r>
        <w:rPr>
          <w:rtl w:val="0"/>
        </w:rPr>
        <w:t>“</w:t>
      </w:r>
      <w:r>
        <w:rPr>
          <w:rtl w:val="0"/>
        </w:rPr>
        <w:t>Blessings from His Death.</w:t>
      </w:r>
      <w:r>
        <w:rPr>
          <w:rtl w:val="0"/>
        </w:rPr>
        <w:t>”</w:t>
      </w:r>
    </w:p>
    <w:p>
      <w:pPr>
        <w:pStyle w:val="Heading 2"/>
        <w:bidi w:val="0"/>
      </w:pPr>
      <w:r>
        <w:rPr>
          <w:rtl w:val="0"/>
        </w:rPr>
        <w:t xml:space="preserve">Contemplating the </w:t>
      </w:r>
      <w:r>
        <w:rPr>
          <w:rtl w:val="0"/>
        </w:rPr>
        <w:t>“</w:t>
      </w:r>
      <w:r>
        <w:rPr>
          <w:rtl w:val="0"/>
        </w:rPr>
        <w:t>U</w:t>
      </w:r>
      <w:r>
        <w:rPr>
          <w:rtl w:val="0"/>
        </w:rPr>
        <w:t xml:space="preserve">” </w:t>
      </w:r>
      <w:r>
        <w:rPr>
          <w:rtl w:val="0"/>
        </w:rPr>
        <w:t>Pattern</w:t>
      </w:r>
    </w:p>
    <w:p>
      <w:pPr>
        <w:pStyle w:val="Body"/>
      </w:pPr>
      <w:r>
        <w:rPr>
          <w:rtl w:val="0"/>
        </w:rPr>
        <w:t xml:space="preserve">The </w:t>
      </w:r>
      <w:r>
        <w:rPr>
          <w:rtl w:val="0"/>
        </w:rPr>
        <w:t>“</w:t>
      </w:r>
      <w:r>
        <w:rPr>
          <w:rtl w:val="0"/>
        </w:rPr>
        <w:t>U</w:t>
      </w:r>
      <w:r>
        <w:rPr>
          <w:rtl w:val="0"/>
        </w:rPr>
        <w:t>”</w:t>
      </w:r>
      <w:r>
        <w:rPr>
          <w:rtl w:val="0"/>
        </w:rPr>
        <w:t xml:space="preserve"> pattern provides a narrative arc of descent (suffering) followed by ascent (glory), </w:t>
      </w:r>
      <w:r>
        <w:rPr>
          <w:rtl w:val="0"/>
        </w:rPr>
        <w:t>offer</w:t>
      </w:r>
      <w:r>
        <w:rPr>
          <w:rtl w:val="0"/>
        </w:rPr>
        <w:t xml:space="preserve">ing a structural lens </w:t>
      </w:r>
      <w:r>
        <w:rPr>
          <w:rtl w:val="0"/>
        </w:rPr>
        <w:t>for</w:t>
      </w:r>
      <w:r>
        <w:rPr>
          <w:rtl w:val="0"/>
        </w:rPr>
        <w:t xml:space="preserve"> understanding the Servant</w:t>
      </w:r>
      <w:r>
        <w:rPr>
          <w:rtl w:val="1"/>
        </w:rPr>
        <w:t>’</w:t>
      </w:r>
      <w:r>
        <w:rPr>
          <w:rtl w:val="0"/>
        </w:rPr>
        <w:t xml:space="preserve">s journey in His life </w:t>
      </w:r>
      <w:r>
        <w:rPr>
          <w:rtl w:val="0"/>
        </w:rPr>
        <w:t>as described in</w:t>
      </w:r>
      <w:r>
        <w:rPr>
          <w:rtl w:val="0"/>
        </w:rPr>
        <w:t xml:space="preserve"> Isaiah 53. </w:t>
      </w:r>
    </w:p>
    <w:p>
      <w:pPr>
        <w:pStyle w:val="Body"/>
      </w:pPr>
      <w:r>
        <w:rPr>
          <w:rtl w:val="0"/>
        </w:rPr>
        <w:t xml:space="preserve">This teaching is best illustrated by a </w:t>
      </w:r>
      <w:r>
        <w:rPr>
          <w:rtl w:val="0"/>
        </w:rPr>
        <w:t>“</w:t>
      </w:r>
      <w:r>
        <w:rPr>
          <w:rtl w:val="0"/>
        </w:rPr>
        <w:t>U</w:t>
      </w:r>
      <w:r>
        <w:rPr>
          <w:rtl w:val="0"/>
        </w:rPr>
        <w:t xml:space="preserve">” </w:t>
      </w:r>
      <w:r>
        <w:rPr>
          <w:rtl w:val="0"/>
        </w:rPr>
        <w:t>structure, which provides a pattern of descent followed by ascent. The three pursuits for a godly leader (rise up, be lifted up, be exalted on high) and practical applications, such as suffering as a strategy and fixing our eyes on Jesus, reinforce the themes of glory following suffering.</w:t>
      </w:r>
    </w:p>
    <w:p>
      <w:pPr>
        <w:pStyle w:val="Heading 2"/>
        <w:bidi w:val="0"/>
      </w:pPr>
      <w:r>
        <w:rPr>
          <w:rtl w:val="0"/>
        </w:rPr>
        <w:t>Fill-in-the-Blank Questions</w:t>
      </w:r>
      <w:r>
        <w:rPr>
          <w:rtl w:val="0"/>
        </w:rPr>
        <w:t xml:space="preserve"> for Isaiah 53:10-12</w:t>
      </w:r>
    </w:p>
    <w:p>
      <w:pPr>
        <w:pStyle w:val="Body"/>
      </w:pPr>
      <w:r>
        <w:rPr>
          <w:rtl w:val="0"/>
        </w:rPr>
        <w:t xml:space="preserve">Below are 10 questions with blanks for you to fill in based on the </w:t>
      </w:r>
      <w:r>
        <w:rPr>
          <w:rtl w:val="0"/>
        </w:rPr>
        <w:t>slide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  <w:lang w:val="it-IT"/>
        </w:rPr>
        <w:t>content.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“</w:t>
      </w:r>
      <w:r>
        <w:rPr>
          <w:rtl w:val="0"/>
        </w:rPr>
        <w:t>But the Lord was pleased to ______ Him, putting Him to ______.</w:t>
      </w:r>
      <w:r>
        <w:rPr>
          <w:rtl w:val="0"/>
        </w:rPr>
        <w:t>”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“</w:t>
      </w:r>
      <w:r>
        <w:rPr>
          <w:rtl w:val="0"/>
        </w:rPr>
        <w:t>If He would render Himself as a ______ offering.</w:t>
      </w:r>
      <w:r>
        <w:rPr>
          <w:rtl w:val="0"/>
        </w:rPr>
        <w:t>”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“</w:t>
      </w:r>
      <w:r>
        <w:rPr>
          <w:rtl w:val="0"/>
        </w:rPr>
        <w:t>He will see His ______.</w:t>
      </w:r>
      <w:r>
        <w:rPr>
          <w:rtl w:val="0"/>
        </w:rPr>
        <w:t>”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“</w:t>
      </w:r>
      <w:r>
        <w:rPr>
          <w:rtl w:val="0"/>
        </w:rPr>
        <w:t>He will prolong His ______.</w:t>
      </w:r>
      <w:r>
        <w:rPr>
          <w:rtl w:val="0"/>
        </w:rPr>
        <w:t>”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“</w:t>
      </w:r>
      <w:r>
        <w:rPr>
          <w:rtl w:val="0"/>
        </w:rPr>
        <w:t>As a result of the ______ of His soul, He will see it and be satisfied.</w:t>
      </w:r>
      <w:r>
        <w:rPr>
          <w:rtl w:val="0"/>
        </w:rPr>
        <w:t>”</w:t>
      </w:r>
      <w:r>
        <w:tab/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The Servant</w:t>
      </w:r>
      <w:r>
        <w:rPr>
          <w:rtl w:val="1"/>
        </w:rPr>
        <w:t>’</w:t>
      </w:r>
      <w:r>
        <w:rPr>
          <w:rtl w:val="0"/>
        </w:rPr>
        <w:t>s suffering was not a(n) ________ but a part of God</w:t>
      </w:r>
      <w:r>
        <w:rPr>
          <w:rtl w:val="1"/>
        </w:rPr>
        <w:t>’</w:t>
      </w:r>
      <w:r>
        <w:rPr>
          <w:rtl w:val="0"/>
        </w:rPr>
        <w:t>s plan.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“</w:t>
      </w:r>
      <w:r>
        <w:rPr>
          <w:rtl w:val="0"/>
        </w:rPr>
        <w:t>He will see His offspring</w:t>
      </w:r>
      <w:r>
        <w:rPr>
          <w:rtl w:val="0"/>
        </w:rPr>
        <w:t>”</w:t>
      </w:r>
      <w:r>
        <w:rPr>
          <w:rtl w:val="0"/>
        </w:rPr>
        <w:t xml:space="preserve"> as referring to His ________.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 xml:space="preserve">The phrase </w:t>
      </w:r>
      <w:r>
        <w:rPr>
          <w:rtl w:val="0"/>
        </w:rPr>
        <w:t>“</w:t>
      </w:r>
      <w:r>
        <w:rPr>
          <w:rtl w:val="0"/>
        </w:rPr>
        <w:t>He will prolong His days</w:t>
      </w:r>
      <w:r>
        <w:rPr>
          <w:rtl w:val="0"/>
        </w:rPr>
        <w:t>”</w:t>
      </w:r>
      <w:r>
        <w:rPr>
          <w:rtl w:val="0"/>
        </w:rPr>
        <w:t xml:space="preserve"> is linked to the Servant</w:t>
      </w:r>
      <w:r>
        <w:rPr>
          <w:rtl w:val="1"/>
        </w:rPr>
        <w:t>’</w:t>
      </w:r>
      <w:r>
        <w:rPr>
          <w:rtl w:val="0"/>
        </w:rPr>
        <w:t>s ________ and ________ life.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S</w:t>
      </w:r>
      <w:r>
        <w:rPr>
          <w:rtl w:val="0"/>
        </w:rPr>
        <w:t>uffering is a ________ part of serving God.</w:t>
      </w:r>
    </w:p>
    <w:p>
      <w:pPr>
        <w:pStyle w:val="Body"/>
        <w:numPr>
          <w:ilvl w:val="0"/>
          <w:numId w:val="4"/>
        </w:numPr>
      </w:pPr>
      <w:r>
        <w:rPr>
          <w:rtl w:val="0"/>
        </w:rPr>
        <w:t>The servant</w:t>
      </w:r>
      <w:r>
        <w:rPr>
          <w:rtl w:val="1"/>
        </w:rPr>
        <w:t>’</w:t>
      </w:r>
      <w:r>
        <w:rPr>
          <w:rtl w:val="0"/>
        </w:rPr>
        <w:t>s journey follows a 'U' pattern of ________ followed by ________.</w:t>
      </w:r>
    </w:p>
    <w:p>
      <w:pPr>
        <w:pStyle w:val="Body"/>
      </w:pPr>
    </w:p>
    <w:p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6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 r</w:t>
      </w:r>
      <w:r>
        <w:rPr>
          <w:b w:val="1"/>
          <w:bCs w:val="1"/>
          <w:rtl w:val="0"/>
          <w:lang w:val="fr-FR"/>
        </w:rPr>
        <w:t>eflective question</w:t>
      </w:r>
    </w:p>
    <w:p>
      <w:pPr>
        <w:pStyle w:val="Body"/>
        <w:ind w:left="360"/>
      </w:pPr>
      <w:r>
        <w:rPr>
          <w:rtl w:val="0"/>
        </w:rPr>
        <w:t>Explain how Jesus</w:t>
      </w:r>
      <w:r>
        <w:rPr>
          <w:rtl w:val="0"/>
        </w:rPr>
        <w:t>’</w:t>
      </w:r>
      <w:r>
        <w:rPr>
          <w:rtl w:val="0"/>
        </w:rPr>
        <w:t xml:space="preserve"> suffering and death brought such change.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1086248</wp:posOffset>
                </wp:positionH>
                <wp:positionV relativeFrom="line">
                  <wp:posOffset>812104</wp:posOffset>
                </wp:positionV>
                <wp:extent cx="4007514" cy="696590"/>
                <wp:effectExtent l="0" t="0" r="0" b="0"/>
                <wp:wrapTopAndBottom distT="152400" distB="152400"/>
                <wp:docPr id="1073741826" name="officeArt object" descr="Answers: crush + grief; guilt, offspring, days, anguish, accident; spiritual offspring or believers; resurrection + eternal; strategic; descent + asc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7514" cy="696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Answers: crush + grief; guilt, offspring, days, anguish, accident; spiritual offspring or believers; resurrection + eternal; strategic; descent + ascent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85.5pt;margin-top:63.9pt;width:315.6pt;height:54.8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Answers: crush + grief; guilt, offspring, days, anguish, accident; spiritual offspring or believers; resurrection + eternal; strategic; descent + ascent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360" w:right="1080" w:bottom="720" w:left="108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tl w:val="0"/>
        <w:lang w:val="en-US"/>
      </w:rPr>
      <w:t>Study Notes - MGL-6</w:t>
    </w:r>
    <w:r>
      <w:tab/>
    </w:r>
    <w:r>
      <w:rPr>
        <w:rtl w:val="0"/>
        <w:lang w:val="en-US"/>
      </w:rPr>
      <w:t>Isaiah 53:10-12</w:t>
    </w: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312" w:lineRule="auto"/>
      <w:ind w:left="0" w:right="0" w:firstLine="0"/>
      <w:jc w:val="center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56"/>
      <w:szCs w:val="56"/>
      <w:u w:val="none"/>
      <w:shd w:val="nil" w:color="auto" w:fill="auto"/>
      <w:vertAlign w:val="baseline"/>
      <w14:textOutline>
        <w14:noFill/>
      </w14:textOutline>
      <w14:textFill>
        <w14:solidFill>
          <w14:srgbClr w14:val="454545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8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8"/>
      <w:szCs w:val="3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12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454545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00" w:after="4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355600" rtl="0" fontAlgn="auto" latinLnBrk="0" hangingPunct="0">
          <a:lnSpc>
            <a:spcPct val="13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454545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